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357" w14:textId="74B54AC7" w:rsidR="00A76E9B" w:rsidRPr="00A76E9B" w:rsidRDefault="00A76E9B" w:rsidP="00A76E9B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2060"/>
          <w:u w:color="3B4845"/>
          <w:lang w:val="en-US"/>
        </w:rPr>
      </w:pPr>
      <w:r>
        <w:rPr>
          <w:rFonts w:cstheme="minorHAnsi"/>
          <w:b/>
          <w:bCs/>
          <w:noProof/>
          <w:color w:val="002060"/>
          <w:sz w:val="28"/>
          <w:szCs w:val="28"/>
          <w:u w:color="3B4845"/>
          <w:lang w:val="en-US"/>
        </w:rPr>
        <w:drawing>
          <wp:inline distT="0" distB="0" distL="0" distR="0" wp14:anchorId="6A02B9F6" wp14:editId="5E662D51">
            <wp:extent cx="952381" cy="95238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E9B">
        <w:rPr>
          <w:rFonts w:cstheme="minorHAnsi"/>
          <w:b/>
          <w:bCs/>
          <w:color w:val="002060"/>
          <w:sz w:val="28"/>
          <w:szCs w:val="28"/>
          <w:u w:color="3B4845"/>
          <w:lang w:val="en-US"/>
        </w:rPr>
        <w:t>Take2 Safeguarding Statement</w:t>
      </w:r>
    </w:p>
    <w:p w14:paraId="07AB6EF2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</w:p>
    <w:p w14:paraId="0C4976B7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</w:rPr>
      </w:pPr>
      <w:r w:rsidRPr="00A76E9B">
        <w:rPr>
          <w:rFonts w:cstheme="minorHAnsi"/>
          <w:color w:val="3B4845"/>
          <w:sz w:val="22"/>
          <w:szCs w:val="22"/>
          <w:u w:color="3B4845"/>
        </w:rPr>
        <w:t>1</w:t>
      </w:r>
      <w:r w:rsidRPr="00A76E9B">
        <w:rPr>
          <w:rFonts w:cstheme="minorHAnsi"/>
          <w:color w:val="0070C0"/>
          <w:sz w:val="22"/>
          <w:szCs w:val="22"/>
          <w:u w:color="3B4845"/>
        </w:rPr>
        <w:t xml:space="preserve">. </w:t>
      </w:r>
      <w:r w:rsidRPr="00A76E9B">
        <w:rPr>
          <w:rFonts w:cstheme="minorHAnsi"/>
          <w:b/>
          <w:bCs/>
          <w:color w:val="002060"/>
          <w:sz w:val="22"/>
          <w:szCs w:val="22"/>
          <w:u w:color="3B4845"/>
        </w:rPr>
        <w:t>Nature of Service:</w:t>
      </w:r>
    </w:p>
    <w:p w14:paraId="56CBE153" w14:textId="52AE85A2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</w:rPr>
      </w:pPr>
      <w:r w:rsidRPr="00A76E9B">
        <w:rPr>
          <w:rFonts w:cstheme="minorHAnsi"/>
          <w:color w:val="3B4845"/>
          <w:sz w:val="22"/>
          <w:szCs w:val="22"/>
          <w:u w:color="3B4845"/>
        </w:rPr>
        <w:t>Performing Arts Education through Drama, Dance</w:t>
      </w:r>
      <w:r w:rsidRPr="00A76E9B">
        <w:rPr>
          <w:rFonts w:cstheme="minorHAnsi"/>
          <w:color w:val="3B4845"/>
          <w:sz w:val="22"/>
          <w:szCs w:val="22"/>
          <w:u w:color="3B4845"/>
        </w:rPr>
        <w:t>, Singing</w:t>
      </w:r>
      <w:r w:rsidRPr="00A76E9B">
        <w:rPr>
          <w:rFonts w:cstheme="minorHAnsi"/>
          <w:color w:val="3B4845"/>
          <w:sz w:val="22"/>
          <w:szCs w:val="22"/>
          <w:u w:color="3B4845"/>
        </w:rPr>
        <w:t xml:space="preserve"> and Music.</w:t>
      </w:r>
    </w:p>
    <w:p w14:paraId="66901BD2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</w:rPr>
      </w:pPr>
    </w:p>
    <w:p w14:paraId="4C7129EC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</w:rPr>
      </w:pPr>
      <w:r w:rsidRPr="00A76E9B">
        <w:rPr>
          <w:rFonts w:cstheme="minorHAnsi"/>
          <w:color w:val="3B4845"/>
          <w:sz w:val="22"/>
          <w:szCs w:val="22"/>
          <w:u w:color="3B4845"/>
        </w:rPr>
        <w:t xml:space="preserve">2. </w:t>
      </w:r>
      <w:r w:rsidRPr="00A76E9B">
        <w:rPr>
          <w:rFonts w:cstheme="minorHAnsi"/>
          <w:b/>
          <w:bCs/>
          <w:color w:val="002060"/>
          <w:sz w:val="22"/>
          <w:szCs w:val="22"/>
          <w:u w:color="3B4845"/>
        </w:rPr>
        <w:t>Principles to Safeguard Children:</w:t>
      </w:r>
    </w:p>
    <w:p w14:paraId="41882BFE" w14:textId="2C62183B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IE"/>
        </w:rPr>
      </w:pPr>
      <w:r w:rsidRPr="00A76E9B">
        <w:rPr>
          <w:rFonts w:cstheme="minorHAnsi"/>
          <w:color w:val="3B4845"/>
          <w:sz w:val="22"/>
          <w:szCs w:val="22"/>
          <w:u w:color="3B4845"/>
        </w:rPr>
        <w:t xml:space="preserve">Take2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successfully delivers quality creative experiences that promote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creative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and social development for children and young people aged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3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-1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8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. These theatre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related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activities include: </w:t>
      </w:r>
    </w:p>
    <w:p w14:paraId="476BB33E" w14:textId="78DDDC54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IE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Drama Classes,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Performing Arts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Classes,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Theatre Productions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,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Residential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London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Trips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,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Trips to Theatres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,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Rehearsals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, Workshops, Examinations. </w:t>
      </w:r>
    </w:p>
    <w:p w14:paraId="19B7E5D6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IE"/>
        </w:rPr>
      </w:pPr>
    </w:p>
    <w:p w14:paraId="72383AEC" w14:textId="2EB5BC5C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IE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3. </w:t>
      </w:r>
      <w:r w:rsidRPr="00A76E9B">
        <w:rPr>
          <w:rFonts w:cstheme="minorHAnsi"/>
          <w:b/>
          <w:bCs/>
          <w:color w:val="002060"/>
          <w:sz w:val="22"/>
          <w:szCs w:val="22"/>
          <w:u w:color="3B4845"/>
          <w:lang w:val="en-IE"/>
        </w:rPr>
        <w:t>Risk Assessment</w:t>
      </w:r>
      <w:r w:rsidRPr="00A76E9B">
        <w:rPr>
          <w:rFonts w:cstheme="minorHAnsi"/>
          <w:color w:val="002060"/>
          <w:sz w:val="22"/>
          <w:szCs w:val="22"/>
          <w:u w:color="3B4845"/>
          <w:lang w:val="en-IE"/>
        </w:rPr>
        <w:t>: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A Risk Assessment has been carried out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to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identify any potential risks our students may encounter regarding Child Protection and Welfare. This Risk Assessment is reviewed at minimum every 12 months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a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nd is available upon request.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ab/>
      </w:r>
    </w:p>
    <w:p w14:paraId="723975A1" w14:textId="2AF48901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IE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Take2 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endeavours to ensure that all children are appropriately supported and respected through clear communication of rules and guidelines within the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ir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Class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es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.  Staff endeavour to constructively work to protect the privacy and dignity of children.</w:t>
      </w:r>
    </w:p>
    <w:p w14:paraId="2162921C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IE"/>
        </w:rPr>
      </w:pPr>
    </w:p>
    <w:p w14:paraId="5D8BEFF2" w14:textId="0CC7A2F4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>4</w:t>
      </w:r>
      <w:r w:rsidRPr="00A76E9B">
        <w:rPr>
          <w:rFonts w:cstheme="minorHAnsi"/>
          <w:color w:val="002060"/>
          <w:sz w:val="22"/>
          <w:szCs w:val="22"/>
          <w:u w:color="3B4845"/>
          <w:lang w:val="en-IE"/>
        </w:rPr>
        <w:t xml:space="preserve">. </w:t>
      </w:r>
      <w:r w:rsidRPr="00A76E9B">
        <w:rPr>
          <w:rFonts w:cstheme="minorHAnsi"/>
          <w:b/>
          <w:bCs/>
          <w:color w:val="002060"/>
          <w:sz w:val="22"/>
          <w:szCs w:val="22"/>
          <w:u w:color="3B4845"/>
          <w:lang w:val="en-IE"/>
        </w:rPr>
        <w:t>Procedures</w:t>
      </w:r>
      <w:r w:rsidRPr="00A76E9B">
        <w:rPr>
          <w:rFonts w:cstheme="minorHAnsi"/>
          <w:color w:val="002060"/>
          <w:sz w:val="22"/>
          <w:szCs w:val="22"/>
          <w:u w:color="3B4845"/>
          <w:lang w:val="en-IE"/>
        </w:rPr>
        <w:t>:</w:t>
      </w:r>
      <w:r w:rsidRPr="00A76E9B">
        <w:rPr>
          <w:rFonts w:cstheme="minorHAnsi"/>
          <w:color w:val="3B4845"/>
          <w:sz w:val="22"/>
          <w:szCs w:val="22"/>
          <w:u w:color="3B4845"/>
          <w:lang w:val="en-IE"/>
        </w:rPr>
        <w:t xml:space="preserve">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Our Child Safeguarding Statement has been developed in line with requirements under the Children First Act 2015 and in line with </w:t>
      </w:r>
      <w:r w:rsidRPr="00A76E9B">
        <w:rPr>
          <w:rFonts w:cstheme="minorHAnsi"/>
          <w:i/>
          <w:color w:val="3B4845"/>
          <w:sz w:val="22"/>
          <w:szCs w:val="22"/>
          <w:u w:color="3B4845"/>
          <w:lang w:val="en-US"/>
        </w:rPr>
        <w:t>Children First: National Guidance for the Protection and Welfare of Children (2017)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. In addition to the procedures listed in our risk assessment, the following procedures support ou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r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intention and dedication to safeguarding young people while they are availing of our service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s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. </w:t>
      </w:r>
    </w:p>
    <w:p w14:paraId="5C810475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</w:p>
    <w:p w14:paraId="5C94EBC5" w14:textId="4B4FAD68" w:rsidR="00A76E9B" w:rsidRPr="00A76E9B" w:rsidRDefault="00A76E9B" w:rsidP="00A76E9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All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members of the Take2 Team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are aware of the procedure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s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for the management of a disclosure of allegation of abuse or misconduct made to or against workers relating to a young person availing of our service. </w:t>
      </w:r>
    </w:p>
    <w:p w14:paraId="5825DAA7" w14:textId="1133B104" w:rsidR="00A76E9B" w:rsidRPr="00A76E9B" w:rsidRDefault="00A76E9B" w:rsidP="00A76E9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Our DLP is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Sophie Griffith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. </w:t>
      </w:r>
    </w:p>
    <w:p w14:paraId="36C55013" w14:textId="4CA55932" w:rsidR="00A76E9B" w:rsidRPr="00A76E9B" w:rsidRDefault="00A76E9B" w:rsidP="00A76E9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Procedures are in place for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Theatre Trips &amp;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Trips Away</w:t>
      </w:r>
    </w:p>
    <w:p w14:paraId="4A9DC3B7" w14:textId="77777777" w:rsidR="00A76E9B" w:rsidRPr="00A76E9B" w:rsidRDefault="00A76E9B" w:rsidP="00A76E9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Anti-Bullying Policy</w:t>
      </w:r>
    </w:p>
    <w:p w14:paraId="7FCE1AA1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</w:p>
    <w:p w14:paraId="20E08BF3" w14:textId="7F34AB1F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All procedures listed are available upon request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and are available to view on our website </w:t>
      </w:r>
      <w:hyperlink r:id="rId6" w:history="1">
        <w:r w:rsidRPr="00A76E9B">
          <w:rPr>
            <w:rStyle w:val="Hyperlink"/>
            <w:rFonts w:cstheme="minorHAnsi"/>
            <w:sz w:val="22"/>
            <w:szCs w:val="22"/>
            <w:lang w:val="en-US"/>
          </w:rPr>
          <w:t>www.take2.ie</w:t>
        </w:r>
      </w:hyperlink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/ Child protection policy </w:t>
      </w:r>
      <w:hyperlink r:id="rId7" w:history="1">
        <w:r w:rsidRPr="00A76E9B">
          <w:rPr>
            <w:rStyle w:val="Hyperlink"/>
            <w:rFonts w:cstheme="minorHAnsi"/>
            <w:sz w:val="22"/>
            <w:szCs w:val="22"/>
            <w:lang w:val="en-US"/>
          </w:rPr>
          <w:t>Child Protection Policy</w:t>
        </w:r>
      </w:hyperlink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</w:t>
      </w:r>
    </w:p>
    <w:p w14:paraId="14C50C8F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</w:p>
    <w:p w14:paraId="667F98B2" w14:textId="7E5BAF06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5.  </w:t>
      </w:r>
      <w:r w:rsidRPr="00A76E9B">
        <w:rPr>
          <w:rFonts w:cstheme="minorHAnsi"/>
          <w:b/>
          <w:bCs/>
          <w:color w:val="002060"/>
          <w:sz w:val="22"/>
          <w:szCs w:val="22"/>
          <w:u w:color="3B4845"/>
          <w:lang w:val="en-US"/>
        </w:rPr>
        <w:t>Implementation</w:t>
      </w:r>
      <w:r w:rsidRPr="00A76E9B">
        <w:rPr>
          <w:rFonts w:cstheme="minorHAnsi"/>
          <w:b/>
          <w:bCs/>
          <w:color w:val="3B4845"/>
          <w:sz w:val="22"/>
          <w:szCs w:val="22"/>
          <w:u w:color="3B4845"/>
          <w:lang w:val="en-US"/>
        </w:rPr>
        <w:t>: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We recognize that implementation is an on-going process.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Take2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is committed to the implementation of this Child Safeguarding Statement and the procedures that support our intention to keep young people safe from harm while availing of our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classes /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service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s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. </w:t>
      </w:r>
    </w:p>
    <w:p w14:paraId="4811E132" w14:textId="77777777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</w:p>
    <w:p w14:paraId="70F910A8" w14:textId="10E566C1" w:rsidR="00A76E9B" w:rsidRPr="00A76E9B" w:rsidRDefault="00A76E9B" w:rsidP="00A76E9B">
      <w:pPr>
        <w:widowControl w:val="0"/>
        <w:autoSpaceDE w:val="0"/>
        <w:autoSpaceDN w:val="0"/>
        <w:adjustRightInd w:val="0"/>
        <w:rPr>
          <w:rFonts w:cstheme="minorHAnsi"/>
          <w:color w:val="3B4845"/>
          <w:sz w:val="22"/>
          <w:szCs w:val="22"/>
          <w:u w:color="3B4845"/>
          <w:lang w:val="en-US"/>
        </w:rPr>
      </w:pP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>This Child Safeguarding Statement will be reviewed on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May </w:t>
      </w:r>
      <w:proofErr w:type="gramStart"/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2022 </w:t>
      </w:r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or</w:t>
      </w:r>
      <w:proofErr w:type="gramEnd"/>
      <w:r w:rsidRPr="00A76E9B">
        <w:rPr>
          <w:rFonts w:cstheme="minorHAnsi"/>
          <w:color w:val="3B4845"/>
          <w:sz w:val="22"/>
          <w:szCs w:val="22"/>
          <w:u w:color="3B4845"/>
          <w:lang w:val="en-US"/>
        </w:rPr>
        <w:t xml:space="preserve"> as soon as there has been a material change in any matter to which this statement refers. </w:t>
      </w:r>
    </w:p>
    <w:p w14:paraId="6B151DDE" w14:textId="48F01FCD" w:rsidR="00B1055B" w:rsidRPr="00A76E9B" w:rsidRDefault="00B1055B">
      <w:pPr>
        <w:rPr>
          <w:rFonts w:cstheme="minorHAnsi"/>
          <w:sz w:val="22"/>
          <w:szCs w:val="22"/>
        </w:rPr>
      </w:pPr>
    </w:p>
    <w:p w14:paraId="527A46C4" w14:textId="1559FB1E" w:rsidR="00A76E9B" w:rsidRPr="00A76E9B" w:rsidRDefault="00A76E9B">
      <w:pPr>
        <w:rPr>
          <w:rFonts w:ascii="Freestyle Script" w:hAnsi="Freestyle Script" w:cstheme="minorHAnsi"/>
          <w:sz w:val="22"/>
          <w:szCs w:val="22"/>
        </w:rPr>
      </w:pPr>
      <w:r w:rsidRPr="00A76E9B">
        <w:rPr>
          <w:rFonts w:ascii="Freestyle Script" w:hAnsi="Freestyle Script" w:cstheme="minorHAnsi"/>
          <w:sz w:val="22"/>
          <w:szCs w:val="22"/>
        </w:rPr>
        <w:t xml:space="preserve">Pamela Hughes </w:t>
      </w:r>
    </w:p>
    <w:p w14:paraId="0807377B" w14:textId="6157AAFF" w:rsidR="00A76E9B" w:rsidRPr="00A76E9B" w:rsidRDefault="00A76E9B">
      <w:pPr>
        <w:rPr>
          <w:rFonts w:cstheme="minorHAnsi"/>
          <w:sz w:val="22"/>
          <w:szCs w:val="22"/>
        </w:rPr>
      </w:pPr>
      <w:r w:rsidRPr="00A76E9B">
        <w:rPr>
          <w:rFonts w:cstheme="minorHAnsi"/>
          <w:sz w:val="22"/>
          <w:szCs w:val="22"/>
        </w:rPr>
        <w:t>Pamela Hughes, Owner/Director Take2.</w:t>
      </w:r>
    </w:p>
    <w:sectPr w:rsidR="00A76E9B" w:rsidRPr="00A76E9B" w:rsidSect="00B10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4A9"/>
    <w:multiLevelType w:val="hybridMultilevel"/>
    <w:tmpl w:val="98BA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B52DD"/>
    <w:multiLevelType w:val="hybridMultilevel"/>
    <w:tmpl w:val="510468D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6D81490F"/>
    <w:multiLevelType w:val="hybridMultilevel"/>
    <w:tmpl w:val="0DCE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2MTI0sDQwMrOwMDVT0lEKTi0uzszPAykwrAUAskC72SwAAAA="/>
  </w:docVars>
  <w:rsids>
    <w:rsidRoot w:val="00A76E9B"/>
    <w:rsid w:val="002F376F"/>
    <w:rsid w:val="0088101A"/>
    <w:rsid w:val="00A76E9B"/>
    <w:rsid w:val="00AB418D"/>
    <w:rsid w:val="00B1055B"/>
    <w:rsid w:val="00C5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F1AD"/>
  <w15:chartTrackingRefBased/>
  <w15:docId w15:val="{000778BF-BFBA-46F9-BE84-AFBB0E9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9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ke2.ie/wp-content/uploads/2021/04/Take2-Performing-Arts-School-Child-Protection-Policy-2021-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e2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Hughes</dc:creator>
  <cp:keywords/>
  <dc:description/>
  <cp:lastModifiedBy>Pamela Hughes</cp:lastModifiedBy>
  <cp:revision>2</cp:revision>
  <cp:lastPrinted>2021-05-01T11:49:00Z</cp:lastPrinted>
  <dcterms:created xsi:type="dcterms:W3CDTF">2021-05-01T11:28:00Z</dcterms:created>
  <dcterms:modified xsi:type="dcterms:W3CDTF">2021-05-01T11:50:00Z</dcterms:modified>
</cp:coreProperties>
</file>